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sz w:val="36"/>
          <w:szCs w:val="36"/>
          <w:u w:val="none"/>
        </w:rPr>
        <w:t>会昌县城区幼儿扩建项目（第五、六幼儿园项目）建设项目主体检测</w:t>
      </w:r>
      <w:r>
        <w:rPr>
          <w:rFonts w:hint="eastAsia" w:ascii="仿宋" w:hAnsi="仿宋" w:eastAsia="仿宋" w:cs="仿宋"/>
          <w:b/>
          <w:sz w:val="36"/>
          <w:szCs w:val="36"/>
          <w:u w:val="none"/>
          <w:lang w:eastAsia="zh-CN"/>
        </w:rPr>
        <w:t>询价发包挂网招标</w:t>
      </w:r>
      <w:r>
        <w:rPr>
          <w:rFonts w:hint="eastAsia" w:ascii="仿宋" w:hAnsi="仿宋" w:eastAsia="仿宋" w:cs="仿宋"/>
          <w:b/>
          <w:sz w:val="36"/>
          <w:szCs w:val="36"/>
          <w:u w:val="none"/>
        </w:rPr>
        <w:t>公告</w:t>
      </w: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项号</w:t>
            </w:r>
          </w:p>
        </w:tc>
        <w:tc>
          <w:tcPr>
            <w:tcW w:w="1629"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内 容</w:t>
            </w:r>
          </w:p>
        </w:tc>
        <w:tc>
          <w:tcPr>
            <w:tcW w:w="7020"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招标人</w:t>
            </w:r>
          </w:p>
        </w:tc>
        <w:tc>
          <w:tcPr>
            <w:tcW w:w="7020" w:type="dxa"/>
            <w:vAlign w:val="center"/>
          </w:tcPr>
          <w:p>
            <w:pPr>
              <w:jc w:val="center"/>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eastAsia="zh-CN"/>
              </w:rPr>
              <w:t>会昌县德欣教育科技有限公司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项目名称</w:t>
            </w:r>
          </w:p>
        </w:tc>
        <w:tc>
          <w:tcPr>
            <w:tcW w:w="7020" w:type="dxa"/>
            <w:vAlign w:val="center"/>
          </w:tcPr>
          <w:p>
            <w:pPr>
              <w:spacing w:line="700" w:lineRule="exact"/>
              <w:jc w:val="center"/>
              <w:rPr>
                <w:rFonts w:hint="default" w:ascii="仿宋" w:hAnsi="仿宋" w:eastAsia="仿宋_GB2312" w:cs="仿宋"/>
                <w:b w:val="0"/>
                <w:bCs w:val="0"/>
                <w:sz w:val="30"/>
                <w:szCs w:val="30"/>
                <w:vertAlign w:val="baseline"/>
                <w:lang w:val="en-US" w:eastAsia="zh-CN"/>
              </w:rPr>
            </w:pPr>
            <w:r>
              <w:rPr>
                <w:rFonts w:hint="eastAsia" w:ascii="仿宋" w:hAnsi="仿宋" w:eastAsia="仿宋" w:cs="仿宋"/>
                <w:b w:val="0"/>
                <w:bCs/>
                <w:sz w:val="30"/>
                <w:szCs w:val="30"/>
                <w:u w:val="none"/>
                <w:lang w:eastAsia="zh-CN"/>
              </w:rPr>
              <w:t>会昌县城区幼儿扩建项目（第五、六幼儿园项目）建设项目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3</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项目地点</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4</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招标范围</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lang w:eastAsia="zh-CN"/>
              </w:rPr>
              <w:t>会昌县城区幼儿扩建项目（第五、六幼儿园项目）建设项目主体检测检测</w:t>
            </w:r>
            <w:r>
              <w:rPr>
                <w:rFonts w:hint="eastAsia" w:ascii="仿宋" w:hAnsi="仿宋" w:eastAsia="仿宋" w:cs="仿宋"/>
                <w:b w:val="0"/>
                <w:bCs w:val="0"/>
                <w:sz w:val="30"/>
                <w:szCs w:val="30"/>
                <w:vertAlign w:val="baseline"/>
                <w:lang w:val="en-US" w:eastAsia="zh-CN"/>
              </w:rPr>
              <w:t>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资金来源</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rPr>
              <w:t>一般债券资金</w:t>
            </w:r>
            <w:r>
              <w:rPr>
                <w:rFonts w:hint="eastAsia" w:ascii="仿宋" w:hAnsi="仿宋" w:eastAsia="仿宋" w:cs="仿宋"/>
                <w:b w:val="0"/>
                <w:bCs/>
                <w:sz w:val="30"/>
                <w:szCs w:val="30"/>
                <w:u w:val="none"/>
                <w:lang w:eastAsia="zh-CN"/>
              </w:rPr>
              <w:t>、地方财政</w:t>
            </w:r>
            <w:r>
              <w:rPr>
                <w:rFonts w:hint="eastAsia" w:ascii="仿宋" w:hAnsi="仿宋" w:eastAsia="仿宋" w:cs="仿宋"/>
                <w:b w:val="0"/>
                <w:bCs/>
                <w:sz w:val="30"/>
                <w:szCs w:val="30"/>
                <w:u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6</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工艺要求</w:t>
            </w:r>
          </w:p>
        </w:tc>
        <w:tc>
          <w:tcPr>
            <w:tcW w:w="7020" w:type="dxa"/>
            <w:vAlign w:val="center"/>
          </w:tcPr>
          <w:p>
            <w:pPr>
              <w:numPr>
                <w:ilvl w:val="0"/>
                <w:numId w:val="0"/>
              </w:num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rPr>
              <w:t>按照《</w:t>
            </w:r>
            <w:r>
              <w:rPr>
                <w:rFonts w:hint="eastAsia" w:ascii="仿宋" w:hAnsi="仿宋" w:eastAsia="仿宋" w:cs="仿宋"/>
                <w:b w:val="0"/>
                <w:bCs/>
                <w:sz w:val="30"/>
                <w:szCs w:val="30"/>
                <w:u w:val="none"/>
              </w:rPr>
              <w:fldChar w:fldCharType="begin"/>
            </w:r>
            <w:r>
              <w:rPr>
                <w:rFonts w:hint="eastAsia" w:ascii="仿宋" w:hAnsi="仿宋" w:eastAsia="仿宋" w:cs="仿宋"/>
                <w:b w:val="0"/>
                <w:bCs/>
                <w:sz w:val="30"/>
                <w:szCs w:val="30"/>
                <w:u w:val="none"/>
              </w:rPr>
              <w:instrText xml:space="preserve"> HYPERLINK "http://baike.baidu.com/view/436017.htm" \t "_blank" </w:instrText>
            </w:r>
            <w:r>
              <w:rPr>
                <w:rFonts w:hint="eastAsia" w:ascii="仿宋" w:hAnsi="仿宋" w:eastAsia="仿宋" w:cs="仿宋"/>
                <w:b w:val="0"/>
                <w:bCs/>
                <w:sz w:val="30"/>
                <w:szCs w:val="30"/>
                <w:u w:val="none"/>
              </w:rPr>
              <w:fldChar w:fldCharType="separate"/>
            </w:r>
            <w:r>
              <w:rPr>
                <w:rFonts w:hint="eastAsia" w:ascii="仿宋" w:hAnsi="仿宋" w:eastAsia="仿宋" w:cs="仿宋"/>
                <w:b w:val="0"/>
                <w:bCs/>
                <w:sz w:val="30"/>
                <w:szCs w:val="30"/>
                <w:u w:val="none"/>
              </w:rPr>
              <w:t>建设工程质量管理条例</w:t>
            </w:r>
            <w:r>
              <w:rPr>
                <w:rFonts w:hint="eastAsia" w:ascii="仿宋" w:hAnsi="仿宋" w:eastAsia="仿宋" w:cs="仿宋"/>
                <w:b w:val="0"/>
                <w:bCs/>
                <w:sz w:val="30"/>
                <w:szCs w:val="30"/>
                <w:u w:val="none"/>
              </w:rPr>
              <w:fldChar w:fldCharType="end"/>
            </w:r>
            <w:r>
              <w:rPr>
                <w:rFonts w:hint="eastAsia" w:ascii="仿宋" w:hAnsi="仿宋" w:eastAsia="仿宋" w:cs="仿宋"/>
                <w:b w:val="0"/>
                <w:bCs/>
                <w:sz w:val="30"/>
                <w:szCs w:val="30"/>
                <w:u w:val="none"/>
              </w:rPr>
              <w:t>》、《建设工程质量检测管理办法》、《房屋建筑工程和市政基础设施工程实行见证取样和送检的规定》等</w:t>
            </w:r>
            <w:r>
              <w:rPr>
                <w:rFonts w:hint="eastAsia" w:ascii="仿宋" w:hAnsi="仿宋" w:eastAsia="仿宋" w:cs="仿宋"/>
                <w:b w:val="0"/>
                <w:bCs/>
                <w:sz w:val="30"/>
                <w:szCs w:val="30"/>
                <w:u w:val="none"/>
                <w:lang w:eastAsia="zh-CN"/>
              </w:rPr>
              <w:t>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工期要求</w:t>
            </w:r>
          </w:p>
        </w:tc>
        <w:tc>
          <w:tcPr>
            <w:tcW w:w="7020"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val="0"/>
                <w:bCs w:val="0"/>
                <w:sz w:val="30"/>
                <w:szCs w:val="30"/>
                <w:vertAlign w:val="baseline"/>
                <w:lang w:val="en-US" w:eastAsia="zh-CN"/>
              </w:rPr>
              <w:t>总工期20天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8</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2023年7月3日至2023年7月7日下午3点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46" w:type="dxa"/>
            <w:vAlign w:val="center"/>
          </w:tcPr>
          <w:p>
            <w:pPr>
              <w:spacing w:line="480" w:lineRule="auto"/>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9</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付款方式</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完成</w:t>
            </w:r>
            <w:r>
              <w:rPr>
                <w:rFonts w:hint="eastAsia" w:ascii="仿宋" w:hAnsi="仿宋" w:eastAsia="仿宋" w:cs="仿宋"/>
                <w:b w:val="0"/>
                <w:bCs/>
                <w:color w:val="000000"/>
                <w:sz w:val="30"/>
                <w:szCs w:val="30"/>
                <w:lang w:eastAsia="zh-CN"/>
              </w:rPr>
              <w:t>项目主体检测并出具检测报告</w:t>
            </w:r>
            <w:r>
              <w:rPr>
                <w:rFonts w:hint="eastAsia" w:ascii="仿宋" w:hAnsi="仿宋" w:eastAsia="仿宋" w:cs="仿宋"/>
                <w:b w:val="0"/>
                <w:bCs w:val="0"/>
                <w:sz w:val="30"/>
                <w:szCs w:val="30"/>
                <w:vertAlign w:val="baseline"/>
                <w:lang w:val="en-US" w:eastAsia="zh-CN"/>
              </w:rPr>
              <w:t>后一年内支付。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10</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计价方式</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固定单价包干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6"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联系人及投标地点</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招标联系人：钟鹏  15070707530 投标地点：会昌县商会大厦十楼工程部。</w:t>
            </w:r>
          </w:p>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需要相关材料及勘察项目现场的请联系招标联系人，并在报名有效期内提交报价材料。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0"/>
                <w:szCs w:val="30"/>
                <w:vertAlign w:val="baseline"/>
                <w:lang w:val="en-US" w:eastAsia="zh-CN" w:bidi="ar-SA"/>
              </w:rPr>
            </w:pPr>
            <w:r>
              <w:rPr>
                <w:rFonts w:hint="eastAsia" w:ascii="仿宋" w:hAnsi="仿宋" w:eastAsia="仿宋" w:cs="仿宋"/>
                <w:b/>
                <w:bCs/>
                <w:sz w:val="30"/>
                <w:szCs w:val="30"/>
                <w:vertAlign w:val="baseline"/>
                <w:lang w:val="en-US" w:eastAsia="zh-CN"/>
              </w:rPr>
              <w:t>12</w:t>
            </w:r>
          </w:p>
        </w:tc>
        <w:tc>
          <w:tcPr>
            <w:tcW w:w="1629" w:type="dxa"/>
            <w:vAlign w:val="center"/>
          </w:tcPr>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开标时间为：2023年7月</w:t>
            </w:r>
            <w:bookmarkStart w:id="1" w:name="_GoBack"/>
            <w:bookmarkEnd w:id="1"/>
            <w:r>
              <w:rPr>
                <w:rFonts w:hint="eastAsia" w:ascii="仿宋" w:hAnsi="仿宋" w:eastAsia="仿宋" w:cs="仿宋"/>
                <w:b w:val="0"/>
                <w:bCs w:val="0"/>
                <w:color w:val="000000"/>
                <w:sz w:val="30"/>
                <w:szCs w:val="30"/>
                <w:vertAlign w:val="baseline"/>
                <w:lang w:val="en-US" w:eastAsia="zh-CN"/>
              </w:rPr>
              <w:t>7日下午3:00，集团询价小组进行现场拆封各投标人报价文件，审核各投标人资质，按低价原则确定服务机构。</w:t>
            </w:r>
          </w:p>
          <w:p>
            <w:p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地点：会昌县商会大厦十楼会议室</w:t>
            </w:r>
          </w:p>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1.1、投标价格为固定单价，投标单位报价后我公司即视为报价方在报价前已充分进行了现场踏勘、测量、风险评估及工期提前等所有风险。任何要求</w:t>
      </w:r>
      <w:bookmarkStart w:id="0" w:name="_Hlk529951313"/>
      <w:r>
        <w:rPr>
          <w:rFonts w:hint="eastAsia" w:ascii="仿宋_GB2312" w:hAnsi="仿宋_GB2312" w:eastAsia="仿宋_GB2312" w:cs="仿宋_GB2312"/>
          <w:b w:val="0"/>
          <w:bCs w:val="0"/>
          <w:sz w:val="32"/>
          <w:szCs w:val="32"/>
          <w:lang w:val="en-US" w:eastAsia="zh-CN"/>
        </w:rPr>
        <w:t>增减、变更</w:t>
      </w:r>
      <w:bookmarkEnd w:id="0"/>
      <w:r>
        <w:rPr>
          <w:rFonts w:hint="eastAsia" w:ascii="仿宋_GB2312" w:hAnsi="仿宋_GB2312" w:eastAsia="仿宋_GB2312" w:cs="仿宋_GB2312"/>
          <w:b w:val="0"/>
          <w:bCs w:val="0"/>
          <w:sz w:val="32"/>
          <w:szCs w:val="32"/>
          <w:lang w:val="en-US" w:eastAsia="zh-CN"/>
        </w:rPr>
        <w:t>单价的，将不予认可。除非出现工程新增项目且未确定单价时，双方可协商调整。增加的工程量按双方协商的费用进行结算，增减、变更必须双方另行书面签订协议并加盖公章，否则不予认可。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开户许可证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1.3、提供虚假资料的取消其投标及中标资格，开标时不足3家投标单位按流标处理。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1）需要具备</w:t>
      </w:r>
      <w:r>
        <w:rPr>
          <w:rFonts w:hint="eastAsia" w:ascii="仿宋" w:hAnsi="仿宋" w:eastAsia="仿宋" w:cs="仿宋"/>
          <w:b w:val="0"/>
          <w:bCs/>
          <w:color w:val="000000"/>
          <w:sz w:val="32"/>
          <w:szCs w:val="32"/>
          <w:lang w:eastAsia="zh-CN"/>
        </w:rPr>
        <w:t>工程主体检测及人防实体检测</w:t>
      </w:r>
      <w:r>
        <w:rPr>
          <w:rFonts w:hint="eastAsia" w:ascii="仿宋_GB2312" w:hAnsi="仿宋_GB2312" w:eastAsia="仿宋_GB2312" w:cs="仿宋_GB2312"/>
          <w:b w:val="0"/>
          <w:bCs w:val="0"/>
          <w:sz w:val="32"/>
          <w:szCs w:val="32"/>
          <w:lang w:val="en-US" w:eastAsia="zh-CN"/>
        </w:rPr>
        <w:t>相关资质的单位。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2）提供在“国家企业信用信息公示系统”查询记录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3）提供公司主要管理及其直系亲属未在会昌县恒茂建设发展集团有限责任公司从业的承诺书。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1.6、中标公示3天后3个工作日内签订合同，签订合同后3天日内进场开展工作。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原则上符合报价文件且在同等条件下以报价最优惠的单位为中标单位，由集团询价小组集团推选，最终报集团“三重一大”会议确定。</w:t>
      </w:r>
    </w:p>
    <w:p>
      <w:pPr>
        <w:numPr>
          <w:ilvl w:val="0"/>
          <w:numId w:val="0"/>
        </w:numPr>
        <w:ind w:firstLine="640" w:firstLineChars="200"/>
        <w:jc w:val="left"/>
        <w:rPr>
          <w:rFonts w:hint="default" w:ascii="仿宋_GB2312" w:hAnsi="仿宋_GB2312" w:eastAsia="仿宋_GB2312" w:cs="仿宋_GB2312"/>
          <w:sz w:val="32"/>
          <w:szCs w:val="32"/>
          <w:lang w:val="en-US" w:eastAsia="zh-CN"/>
        </w:rPr>
      </w:pP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开展项目的</w:t>
      </w:r>
      <w:r>
        <w:rPr>
          <w:rFonts w:hint="eastAsia" w:ascii="仿宋" w:hAnsi="仿宋" w:eastAsia="仿宋" w:cs="仿宋"/>
          <w:b w:val="0"/>
          <w:bCs/>
          <w:color w:val="000000"/>
          <w:sz w:val="32"/>
          <w:szCs w:val="32"/>
          <w:lang w:eastAsia="zh-CN"/>
        </w:rPr>
        <w:t>主体检测并出具检测报告</w:t>
      </w:r>
      <w:r>
        <w:rPr>
          <w:rFonts w:hint="eastAsia" w:ascii="仿宋" w:hAnsi="仿宋" w:eastAsia="仿宋" w:cs="仿宋"/>
          <w:b w:val="0"/>
          <w:bCs w:val="0"/>
          <w:sz w:val="32"/>
          <w:szCs w:val="32"/>
          <w:vertAlign w:val="baseline"/>
          <w:lang w:val="en-US" w:eastAsia="zh-CN"/>
        </w:rPr>
        <w:t>。</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ind w:firstLine="640" w:firstLineChars="200"/>
        <w:jc w:val="left"/>
        <w:rPr>
          <w:rFonts w:hint="default"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 w:hAnsi="仿宋" w:eastAsia="仿宋" w:cs="仿宋"/>
          <w:b w:val="0"/>
          <w:bCs/>
          <w:sz w:val="30"/>
          <w:szCs w:val="30"/>
          <w:u w:val="none"/>
          <w:lang w:eastAsia="zh-CN"/>
        </w:rPr>
        <w:t>会昌县城区幼儿园扩建项目（第五、六幼儿园项目）建设项目总建筑面积</w:t>
      </w:r>
      <w:r>
        <w:rPr>
          <w:rFonts w:hint="eastAsia" w:ascii="仿宋" w:hAnsi="仿宋" w:eastAsia="仿宋" w:cs="仿宋"/>
          <w:b w:val="0"/>
          <w:bCs/>
          <w:sz w:val="30"/>
          <w:szCs w:val="30"/>
          <w:u w:val="none"/>
          <w:lang w:val="en-US" w:eastAsia="zh-CN"/>
        </w:rPr>
        <w:t>19707平方米，人防面积1150平方米</w:t>
      </w:r>
      <w:r>
        <w:rPr>
          <w:rFonts w:hint="eastAsia" w:ascii="仿宋_GB2312" w:hAnsi="仿宋_GB2312" w:eastAsia="仿宋_GB2312" w:cs="仿宋_GB2312"/>
          <w:b w:val="0"/>
          <w:bCs w:val="0"/>
          <w:sz w:val="32"/>
          <w:szCs w:val="32"/>
          <w:lang w:val="en-US" w:eastAsia="zh-CN"/>
        </w:rPr>
        <w:t>。</w:t>
      </w:r>
    </w:p>
    <w:p>
      <w:pPr>
        <w:numPr>
          <w:ilvl w:val="0"/>
          <w:numId w:val="0"/>
        </w:numPr>
        <w:jc w:val="left"/>
        <w:rPr>
          <w:rFonts w:hint="eastAsia" w:ascii="仿宋_GB2312" w:hAnsi="仿宋_GB2312" w:eastAsia="仿宋_GB2312" w:cs="仿宋_GB2312"/>
          <w:b w:val="0"/>
          <w:bCs w:val="0"/>
          <w:sz w:val="32"/>
          <w:szCs w:val="32"/>
          <w:lang w:val="en-US" w:eastAsia="zh-CN"/>
        </w:rPr>
      </w:pPr>
    </w:p>
    <w:p>
      <w:pPr>
        <w:numPr>
          <w:ilvl w:val="0"/>
          <w:numId w:val="2"/>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招标控制价</w:t>
      </w: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控制价</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1483"/>
        <w:gridCol w:w="1617"/>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项目名称</w:t>
            </w:r>
          </w:p>
        </w:tc>
        <w:tc>
          <w:tcPr>
            <w:tcW w:w="1483"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控制价</w:t>
            </w:r>
          </w:p>
        </w:tc>
        <w:tc>
          <w:tcPr>
            <w:tcW w:w="1617"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单位</w:t>
            </w:r>
          </w:p>
        </w:tc>
        <w:tc>
          <w:tcPr>
            <w:tcW w:w="2084"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主体实体检测</w:t>
            </w:r>
          </w:p>
        </w:tc>
        <w:tc>
          <w:tcPr>
            <w:tcW w:w="1483" w:type="dxa"/>
            <w:vAlign w:val="center"/>
          </w:tcPr>
          <w:p>
            <w:pPr>
              <w:pStyle w:val="4"/>
              <w:ind w:left="0" w:leftChars="0" w:firstLine="0" w:firstLineChars="0"/>
              <w:jc w:val="center"/>
              <w:rPr>
                <w:rFonts w:hint="default" w:ascii="仿宋" w:hAnsi="仿宋" w:eastAsia="仿宋" w:cs="仿宋"/>
                <w:color w:val="FF0000"/>
                <w:sz w:val="28"/>
                <w:szCs w:val="28"/>
                <w:vertAlign w:val="baseline"/>
                <w:lang w:val="en-US" w:eastAsia="zh-CN"/>
              </w:rPr>
            </w:pPr>
            <w:r>
              <w:rPr>
                <w:rFonts w:hint="eastAsia" w:ascii="仿宋" w:hAnsi="仿宋" w:eastAsia="仿宋" w:cs="仿宋"/>
                <w:color w:val="000000"/>
                <w:sz w:val="28"/>
                <w:szCs w:val="28"/>
                <w:vertAlign w:val="baseline"/>
                <w:lang w:val="en-US" w:eastAsia="zh-CN"/>
              </w:rPr>
              <w:t>1元/</w:t>
            </w:r>
            <w:r>
              <w:rPr>
                <w:rFonts w:hint="eastAsia" w:ascii="仿宋_GB2312" w:hAnsi="仿宋_GB2312" w:eastAsia="仿宋_GB2312" w:cs="仿宋_GB2312"/>
                <w:b w:val="0"/>
                <w:bCs w:val="0"/>
                <w:sz w:val="32"/>
                <w:szCs w:val="32"/>
                <w:lang w:val="en-US" w:eastAsia="zh-CN"/>
              </w:rPr>
              <w:t>㎡</w:t>
            </w:r>
          </w:p>
        </w:tc>
        <w:tc>
          <w:tcPr>
            <w:tcW w:w="161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color w:val="000000"/>
                <w:sz w:val="28"/>
                <w:szCs w:val="28"/>
                <w:vertAlign w:val="baseline"/>
                <w:lang w:val="en-US" w:eastAsia="zh-CN"/>
              </w:rPr>
              <w:t>元/</w:t>
            </w:r>
            <w:r>
              <w:rPr>
                <w:rFonts w:hint="eastAsia" w:ascii="仿宋_GB2312" w:hAnsi="仿宋_GB2312" w:eastAsia="仿宋_GB2312" w:cs="仿宋_GB2312"/>
                <w:b w:val="0"/>
                <w:bCs w:val="0"/>
                <w:sz w:val="32"/>
                <w:szCs w:val="32"/>
                <w:lang w:val="en-US" w:eastAsia="zh-CN"/>
              </w:rPr>
              <w:t>㎡</w:t>
            </w:r>
          </w:p>
        </w:tc>
        <w:tc>
          <w:tcPr>
            <w:tcW w:w="2084"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12" w:type="dxa"/>
            <w:vAlign w:val="center"/>
          </w:tcPr>
          <w:p>
            <w:pPr>
              <w:pStyle w:val="4"/>
              <w:tabs>
                <w:tab w:val="center" w:pos="1358"/>
                <w:tab w:val="right" w:pos="2596"/>
              </w:tabs>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人防实体检测及人防设备检测</w:t>
            </w:r>
          </w:p>
        </w:tc>
        <w:tc>
          <w:tcPr>
            <w:tcW w:w="1483" w:type="dxa"/>
            <w:vAlign w:val="center"/>
          </w:tcPr>
          <w:p>
            <w:pPr>
              <w:pStyle w:val="4"/>
              <w:ind w:left="0" w:leftChars="0" w:firstLine="0" w:firstLineChars="0"/>
              <w:jc w:val="center"/>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12元/</w:t>
            </w:r>
            <w:r>
              <w:rPr>
                <w:rFonts w:hint="eastAsia" w:ascii="仿宋_GB2312" w:hAnsi="仿宋_GB2312" w:eastAsia="仿宋_GB2312" w:cs="仿宋_GB2312"/>
                <w:b w:val="0"/>
                <w:bCs w:val="0"/>
                <w:sz w:val="32"/>
                <w:szCs w:val="32"/>
                <w:lang w:val="en-US" w:eastAsia="zh-CN"/>
              </w:rPr>
              <w:t>㎡</w:t>
            </w:r>
          </w:p>
        </w:tc>
        <w:tc>
          <w:tcPr>
            <w:tcW w:w="161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color w:val="000000"/>
                <w:sz w:val="28"/>
                <w:szCs w:val="28"/>
                <w:vertAlign w:val="baseline"/>
                <w:lang w:val="en-US" w:eastAsia="zh-CN"/>
              </w:rPr>
              <w:t>元/</w:t>
            </w:r>
            <w:r>
              <w:rPr>
                <w:rFonts w:hint="eastAsia" w:ascii="仿宋_GB2312" w:hAnsi="仿宋_GB2312" w:eastAsia="仿宋_GB2312" w:cs="仿宋_GB2312"/>
                <w:b w:val="0"/>
                <w:bCs w:val="0"/>
                <w:sz w:val="32"/>
                <w:szCs w:val="32"/>
                <w:lang w:val="en-US" w:eastAsia="zh-CN"/>
              </w:rPr>
              <w:t>㎡</w:t>
            </w:r>
          </w:p>
        </w:tc>
        <w:tc>
          <w:tcPr>
            <w:tcW w:w="2084"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最高投标限价</w:t>
            </w:r>
          </w:p>
        </w:tc>
      </w:tr>
    </w:tbl>
    <w:p>
      <w:pPr>
        <w:widowControl/>
        <w:spacing w:line="500" w:lineRule="exact"/>
        <w:jc w:val="both"/>
        <w:rPr>
          <w:rFonts w:hint="eastAsia" w:ascii="宋体" w:hAnsi="宋体" w:cs="宋体"/>
          <w:b w:val="0"/>
          <w:bCs/>
          <w:color w:val="000000"/>
          <w:kern w:val="0"/>
          <w:sz w:val="32"/>
          <w:szCs w:val="32"/>
          <w:lang w:val="en-US" w:eastAsia="zh-CN"/>
        </w:rPr>
      </w:pPr>
    </w:p>
    <w:p>
      <w:pPr>
        <w:widowControl/>
        <w:spacing w:line="500" w:lineRule="exact"/>
        <w:jc w:val="both"/>
        <w:rPr>
          <w:rFonts w:hint="eastAsia" w:ascii="宋体" w:hAnsi="宋体" w:cs="宋体"/>
          <w:b w:val="0"/>
          <w:bCs/>
          <w:color w:val="000000"/>
          <w:kern w:val="0"/>
          <w:sz w:val="32"/>
          <w:szCs w:val="32"/>
          <w:lang w:val="en-US" w:eastAsia="zh-CN"/>
        </w:rPr>
      </w:pPr>
      <w:r>
        <w:rPr>
          <w:rFonts w:hint="eastAsia" w:ascii="宋体" w:hAnsi="宋体" w:cs="宋体"/>
          <w:b w:val="0"/>
          <w:bCs/>
          <w:color w:val="000000"/>
          <w:kern w:val="0"/>
          <w:sz w:val="32"/>
          <w:szCs w:val="32"/>
          <w:lang w:val="en-US" w:eastAsia="zh-CN"/>
        </w:rPr>
        <w:t>注意事项：投标报价超出控制价的视为无效投标。</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widowControl/>
        <w:spacing w:line="500" w:lineRule="exact"/>
        <w:ind w:firstLine="722"/>
        <w:jc w:val="both"/>
        <w:rPr>
          <w:rFonts w:hint="default" w:ascii="宋体" w:hAnsi="宋体" w:cs="宋体"/>
          <w:b w:val="0"/>
          <w:bCs/>
          <w:color w:val="000000"/>
          <w:kern w:val="0"/>
          <w:sz w:val="32"/>
          <w:szCs w:val="32"/>
          <w:lang w:val="en-US" w:eastAsia="zh-CN"/>
        </w:rPr>
      </w:pPr>
    </w:p>
    <w:p>
      <w:pPr>
        <w:widowControl/>
        <w:spacing w:line="500" w:lineRule="exact"/>
        <w:jc w:val="center"/>
        <w:rPr>
          <w:rFonts w:hint="eastAsia" w:ascii="宋体" w:hAnsi="宋体" w:eastAsia="宋体" w:cs="宋体"/>
          <w:b/>
          <w:bCs w:val="0"/>
          <w:color w:val="000000"/>
          <w:kern w:val="0"/>
          <w:sz w:val="36"/>
          <w:szCs w:val="36"/>
          <w:lang w:eastAsia="zh-CN"/>
        </w:rPr>
      </w:pPr>
      <w:r>
        <w:rPr>
          <w:rFonts w:hint="eastAsia" w:ascii="宋体" w:hAnsi="宋体" w:cs="宋体"/>
          <w:b/>
          <w:bCs w:val="0"/>
          <w:color w:val="000000"/>
          <w:kern w:val="0"/>
          <w:sz w:val="36"/>
          <w:szCs w:val="36"/>
          <w:lang w:eastAsia="zh-CN"/>
        </w:rPr>
        <w:t>报价表</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1400"/>
        <w:gridCol w:w="1566"/>
        <w:gridCol w:w="1584"/>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项目名称</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类型</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投标报价</w:t>
            </w: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单位</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b w:val="0"/>
                <w:bCs/>
                <w:sz w:val="30"/>
                <w:szCs w:val="30"/>
                <w:u w:val="none"/>
                <w:lang w:eastAsia="zh-CN"/>
              </w:rPr>
              <w:t>会昌县城区幼儿园扩建项目（第五、六幼儿园项目）建设项目</w:t>
            </w:r>
          </w:p>
        </w:tc>
        <w:tc>
          <w:tcPr>
            <w:tcW w:w="1400" w:type="dxa"/>
            <w:vAlign w:val="center"/>
          </w:tcPr>
          <w:p>
            <w:pPr>
              <w:pStyle w:val="4"/>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主体实体检测</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color w:val="000000"/>
                <w:sz w:val="28"/>
                <w:szCs w:val="28"/>
                <w:vertAlign w:val="baseline"/>
                <w:lang w:val="en-US" w:eastAsia="zh-CN"/>
              </w:rPr>
              <w:t>元/</w:t>
            </w:r>
            <w:r>
              <w:rPr>
                <w:rFonts w:hint="eastAsia" w:ascii="仿宋_GB2312" w:hAnsi="仿宋_GB2312" w:eastAsia="仿宋_GB2312" w:cs="仿宋_GB2312"/>
                <w:b w:val="0"/>
                <w:bCs w:val="0"/>
                <w:sz w:val="32"/>
                <w:szCs w:val="32"/>
                <w:lang w:val="en-US" w:eastAsia="zh-CN"/>
              </w:rPr>
              <w:t>㎡</w:t>
            </w:r>
          </w:p>
        </w:tc>
        <w:tc>
          <w:tcPr>
            <w:tcW w:w="1757" w:type="dxa"/>
            <w:vAlign w:val="center"/>
          </w:tcPr>
          <w:p>
            <w:pPr>
              <w:pStyle w:val="4"/>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b w:val="0"/>
                <w:bCs/>
                <w:sz w:val="30"/>
                <w:szCs w:val="30"/>
                <w:u w:val="none"/>
                <w:lang w:eastAsia="zh-CN"/>
              </w:rPr>
              <w:t>会昌县城区幼儿园扩建项目（第五、六幼儿园项目）建设项目</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人防实体检测及人防设备检测</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color w:val="000000"/>
                <w:sz w:val="28"/>
                <w:szCs w:val="28"/>
                <w:vertAlign w:val="baseline"/>
                <w:lang w:val="en-US" w:eastAsia="zh-CN"/>
              </w:rPr>
              <w:t>元/</w:t>
            </w:r>
            <w:r>
              <w:rPr>
                <w:rFonts w:hint="eastAsia" w:ascii="仿宋_GB2312" w:hAnsi="仿宋_GB2312" w:eastAsia="仿宋_GB2312" w:cs="仿宋_GB2312"/>
                <w:b w:val="0"/>
                <w:bCs w:val="0"/>
                <w:sz w:val="32"/>
                <w:szCs w:val="32"/>
                <w:lang w:val="en-US" w:eastAsia="zh-CN"/>
              </w:rPr>
              <w:t>㎡</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固定单价</w:t>
            </w:r>
          </w:p>
        </w:tc>
      </w:tr>
    </w:tbl>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我公司报价包含了现场踏勘、测量、风险评估、工期提前等所有风险，上述报价包含</w:t>
      </w:r>
      <w:r>
        <w:rPr>
          <w:rFonts w:hint="eastAsia" w:ascii="仿宋" w:hAnsi="仿宋" w:eastAsia="仿宋" w:cs="仿宋"/>
          <w:b w:val="0"/>
          <w:bCs/>
          <w:color w:val="000000"/>
          <w:sz w:val="32"/>
          <w:szCs w:val="32"/>
          <w:lang w:eastAsia="zh-CN"/>
        </w:rPr>
        <w:t>项目主体检测</w:t>
      </w:r>
      <w:r>
        <w:rPr>
          <w:rFonts w:hint="eastAsia" w:ascii="仿宋" w:hAnsi="仿宋" w:eastAsia="仿宋" w:cs="仿宋"/>
          <w:b w:val="0"/>
          <w:bCs/>
          <w:color w:val="000000"/>
          <w:sz w:val="32"/>
          <w:szCs w:val="32"/>
          <w:lang w:val="en-US" w:eastAsia="zh-CN"/>
        </w:rPr>
        <w:t>等相关费用并</w:t>
      </w:r>
      <w:r>
        <w:rPr>
          <w:rFonts w:hint="eastAsia" w:ascii="仿宋_GB2312" w:hAnsi="仿宋_GB2312" w:eastAsia="仿宋_GB2312" w:cs="仿宋_GB2312"/>
          <w:b w:val="0"/>
          <w:bCs w:val="0"/>
          <w:sz w:val="32"/>
          <w:szCs w:val="32"/>
          <w:lang w:val="en-US" w:eastAsia="zh-CN"/>
        </w:rPr>
        <w:t>按项目实际情况和设计图纸要求提交以上报价。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right"/>
        <w:textAlignment w:val="auto"/>
        <w:rPr>
          <w:rFonts w:hint="eastAsia" w:ascii="仿宋_GB2312" w:hAnsi="仿宋_GB2312" w:eastAsia="仿宋_GB2312" w:cs="仿宋_GB2312"/>
          <w:b w:val="0"/>
          <w:bCs w:val="0"/>
          <w:sz w:val="32"/>
          <w:szCs w:val="32"/>
          <w:lang w:val="en-US"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abstractNum w:abstractNumId="1">
    <w:nsid w:val="60CE400C"/>
    <w:multiLevelType w:val="singleLevel"/>
    <w:tmpl w:val="60CE400C"/>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NWFiZGYyNDZhOWIyMGEzZGZmN2I1ZThiMGM4NTgifQ=="/>
  </w:docVars>
  <w:rsids>
    <w:rsidRoot w:val="00000000"/>
    <w:rsid w:val="0394658D"/>
    <w:rsid w:val="09D94AF6"/>
    <w:rsid w:val="0B2D1730"/>
    <w:rsid w:val="0F6B4008"/>
    <w:rsid w:val="12DD7EA1"/>
    <w:rsid w:val="1CBD66FD"/>
    <w:rsid w:val="1F5D2BD2"/>
    <w:rsid w:val="29B10D91"/>
    <w:rsid w:val="2FF46872"/>
    <w:rsid w:val="317B4234"/>
    <w:rsid w:val="41E77C61"/>
    <w:rsid w:val="4553644D"/>
    <w:rsid w:val="47F4274D"/>
    <w:rsid w:val="4D46449D"/>
    <w:rsid w:val="6FBD756E"/>
    <w:rsid w:val="7D3923AB"/>
    <w:rsid w:val="7DDE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djustRightInd w:val="0"/>
      <w:snapToGrid w:val="0"/>
      <w:spacing w:beforeAutospacing="0" w:afterAutospacing="0" w:line="360" w:lineRule="auto"/>
      <w:ind w:firstLine="643" w:firstLineChars="200"/>
      <w:jc w:val="left"/>
      <w:outlineLvl w:val="1"/>
    </w:pPr>
    <w:rPr>
      <w:rFonts w:hint="eastAsia"/>
      <w:b/>
      <w:bCs/>
      <w:kern w:val="0"/>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qFormat/>
    <w:uiPriority w:val="0"/>
    <w:rPr>
      <w:color w:val="0000FF"/>
      <w:u w:val="single"/>
    </w:rPr>
  </w:style>
  <w:style w:type="character" w:customStyle="1" w:styleId="11">
    <w:name w:val="font41"/>
    <w:basedOn w:val="8"/>
    <w:qFormat/>
    <w:uiPriority w:val="0"/>
    <w:rPr>
      <w:rFonts w:hint="eastAsia" w:ascii="宋体" w:hAnsi="宋体" w:eastAsia="宋体" w:cs="宋体"/>
      <w:color w:val="000000"/>
      <w:sz w:val="18"/>
      <w:szCs w:val="18"/>
      <w:u w:val="none"/>
    </w:rPr>
  </w:style>
  <w:style w:type="character" w:customStyle="1" w:styleId="12">
    <w:name w:val="font3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1556</Words>
  <Characters>1617</Characters>
  <Paragraphs>155</Paragraphs>
  <TotalTime>0</TotalTime>
  <ScaleCrop>false</ScaleCrop>
  <LinksUpToDate>false</LinksUpToDate>
  <CharactersWithSpaces>1710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Fbewon</cp:lastModifiedBy>
  <cp:lastPrinted>2023-06-19T02:44:00Z</cp:lastPrinted>
  <dcterms:modified xsi:type="dcterms:W3CDTF">2023-07-03T01:45:30Z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D5686C311FAE457A99D700CBCB49C080</vt:lpwstr>
  </property>
</Properties>
</file>