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u w:val="none"/>
          <w:lang w:eastAsia="zh-CN"/>
        </w:rPr>
      </w:pPr>
      <w:bookmarkStart w:id="0" w:name="_Toc512011785"/>
      <w:bookmarkStart w:id="1" w:name="_Toc439447799"/>
      <w:bookmarkStart w:id="2" w:name="_Toc261477746"/>
      <w:r>
        <w:rPr>
          <w:rFonts w:hint="eastAsia" w:ascii="仿宋" w:hAnsi="仿宋" w:eastAsia="仿宋" w:cs="仿宋"/>
          <w:b/>
          <w:sz w:val="36"/>
          <w:szCs w:val="36"/>
          <w:u w:val="none"/>
          <w:lang w:val="en-US" w:eastAsia="zh-CN"/>
        </w:rPr>
        <w:t>G206会昌县珠高寨至九州段公路改建工程及沿线配套设施建设</w:t>
      </w:r>
      <w:bookmarkEnd w:id="0"/>
      <w:bookmarkEnd w:id="1"/>
      <w:bookmarkEnd w:id="2"/>
      <w:r>
        <w:rPr>
          <w:rFonts w:hint="eastAsia" w:ascii="仿宋" w:hAnsi="仿宋" w:eastAsia="仿宋" w:cs="仿宋"/>
          <w:b/>
          <w:sz w:val="36"/>
          <w:szCs w:val="36"/>
          <w:u w:val="none"/>
          <w:lang w:val="en-US" w:eastAsia="zh-CN"/>
        </w:rPr>
        <w:t>项目</w:t>
      </w:r>
      <w:r>
        <w:rPr>
          <w:rFonts w:hint="eastAsia" w:ascii="仿宋" w:hAnsi="仿宋" w:eastAsia="仿宋" w:cs="仿宋"/>
          <w:b/>
          <w:bCs/>
          <w:color w:val="000000"/>
          <w:sz w:val="36"/>
          <w:szCs w:val="36"/>
          <w:lang w:eastAsia="zh-CN"/>
        </w:rPr>
        <w:t>水土保持报告</w:t>
      </w:r>
      <w:r>
        <w:rPr>
          <w:rFonts w:hint="eastAsia" w:ascii="仿宋" w:hAnsi="仿宋" w:eastAsia="仿宋" w:cs="仿宋"/>
          <w:b/>
          <w:bCs/>
          <w:color w:val="000000"/>
          <w:sz w:val="36"/>
          <w:szCs w:val="36"/>
          <w:lang w:val="en-US" w:eastAsia="zh-CN"/>
        </w:rPr>
        <w:t>编制</w:t>
      </w:r>
      <w:r>
        <w:rPr>
          <w:rFonts w:hint="eastAsia" w:ascii="仿宋" w:hAnsi="仿宋" w:eastAsia="仿宋" w:cs="仿宋"/>
          <w:b/>
          <w:sz w:val="36"/>
          <w:szCs w:val="36"/>
          <w:u w:val="none"/>
          <w:lang w:eastAsia="zh-CN"/>
        </w:rPr>
        <w:t>询价发包挂网</w:t>
      </w:r>
    </w:p>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lang w:eastAsia="zh-CN"/>
        </w:rPr>
        <w:t>招标公告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w:t>
            </w:r>
            <w:r>
              <w:rPr>
                <w:rFonts w:hint="eastAsia" w:ascii="仿宋" w:hAnsi="仿宋" w:eastAsia="仿宋" w:cs="仿宋"/>
                <w:b w:val="0"/>
                <w:bCs/>
                <w:color w:val="000000"/>
                <w:sz w:val="30"/>
                <w:szCs w:val="30"/>
                <w:lang w:eastAsia="zh-CN"/>
              </w:rPr>
              <w:t>水土保持报告</w:t>
            </w:r>
            <w:r>
              <w:rPr>
                <w:rFonts w:hint="eastAsia" w:ascii="仿宋" w:hAnsi="仿宋" w:eastAsia="仿宋" w:cs="仿宋"/>
                <w:b w:val="0"/>
                <w:bCs/>
                <w:color w:val="000000"/>
                <w:sz w:val="30"/>
                <w:szCs w:val="30"/>
                <w:lang w:val="en-US" w:eastAsia="zh-CN"/>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G206会昌县珠高寨至九州段公路改建工程及沿线配套设施建设项目</w:t>
            </w:r>
            <w:r>
              <w:rPr>
                <w:rFonts w:hint="eastAsia" w:ascii="仿宋" w:hAnsi="仿宋" w:eastAsia="仿宋" w:cs="仿宋"/>
                <w:b w:val="0"/>
                <w:bCs w:val="0"/>
                <w:sz w:val="30"/>
                <w:szCs w:val="30"/>
                <w:vertAlign w:val="baseline"/>
                <w:lang w:val="en-US" w:eastAsia="zh-CN"/>
              </w:rPr>
              <w:t>水土保持报告编制事宜。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根据《中华人民共和国水土保持法》、水利部《开发建设项目水土保持方案编报审批管理规定》和会昌县水土保持相关管理规定编制。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2023年6月29日至2023年7月3日下午3点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水土保持报告书</w:t>
            </w:r>
            <w:r>
              <w:rPr>
                <w:rFonts w:hint="eastAsia" w:ascii="仿宋" w:hAnsi="仿宋" w:eastAsia="仿宋" w:cs="仿宋"/>
                <w:b w:val="0"/>
                <w:bCs/>
                <w:color w:val="000000"/>
                <w:sz w:val="30"/>
                <w:szCs w:val="30"/>
                <w:lang w:val="en-US" w:eastAsia="zh-CN"/>
              </w:rPr>
              <w:t>编制</w:t>
            </w:r>
            <w:r>
              <w:rPr>
                <w:rFonts w:hint="eastAsia" w:ascii="仿宋" w:hAnsi="仿宋" w:eastAsia="仿宋" w:cs="仿宋"/>
                <w:b w:val="0"/>
                <w:bCs/>
                <w:color w:val="000000"/>
                <w:sz w:val="30"/>
                <w:szCs w:val="30"/>
                <w:lang w:eastAsia="zh-CN"/>
              </w:rPr>
              <w:t>，</w:t>
            </w:r>
            <w:r>
              <w:rPr>
                <w:rFonts w:hint="eastAsia" w:ascii="仿宋" w:hAnsi="仿宋" w:eastAsia="仿宋" w:cs="仿宋"/>
                <w:b w:val="0"/>
                <w:bCs w:val="0"/>
                <w:sz w:val="30"/>
                <w:szCs w:val="30"/>
                <w:vertAlign w:val="baseline"/>
                <w:lang w:val="en-US" w:eastAsia="zh-CN"/>
              </w:rPr>
              <w:t>并通过行业主管部门审批后一年内支付。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招标联系人：陈永鸿  15979096733 投标地点：会昌县商会大厦十楼工程部。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开标时间为：2023年7月3日下午3:00，集团询价小组进行现场拆封各投标人报价文件，审核各投标人资质，按低价原则确定服务机构。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1.1、投标价格为固定总价，投标单位报价后我公司即视为报价方在报价前已充分进行了现场踏勘、考虑了风险评估及工期提前等所有风险。任何要求</w:t>
      </w:r>
      <w:bookmarkStart w:id="3" w:name="_Hlk529951313"/>
      <w:r>
        <w:rPr>
          <w:rFonts w:hint="eastAsia" w:ascii="仿宋_GB2312" w:hAnsi="仿宋_GB2312" w:eastAsia="仿宋_GB2312" w:cs="仿宋_GB2312"/>
          <w:b w:val="0"/>
          <w:bCs w:val="0"/>
          <w:sz w:val="32"/>
          <w:szCs w:val="32"/>
          <w:lang w:val="en-US" w:eastAsia="zh-CN"/>
        </w:rPr>
        <w:t>增减、变更</w:t>
      </w:r>
      <w:bookmarkEnd w:id="3"/>
      <w:r>
        <w:rPr>
          <w:rFonts w:hint="eastAsia" w:ascii="仿宋_GB2312" w:hAnsi="仿宋_GB2312" w:eastAsia="仿宋_GB2312" w:cs="仿宋_GB2312"/>
          <w:b w:val="0"/>
          <w:bCs w:val="0"/>
          <w:sz w:val="32"/>
          <w:szCs w:val="32"/>
          <w:lang w:val="en-US" w:eastAsia="zh-CN"/>
        </w:rPr>
        <w:t>单价的，将不予认可。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4" w:name="_Toc46481525"/>
      <w:r>
        <w:rPr>
          <w:rFonts w:hint="eastAsia" w:ascii="仿宋_GB2312" w:hAnsi="仿宋_GB2312" w:eastAsia="仿宋_GB2312" w:cs="仿宋_GB2312"/>
          <w:b w:val="0"/>
          <w:bCs w:val="0"/>
          <w:sz w:val="32"/>
          <w:szCs w:val="32"/>
          <w:lang w:val="en-US" w:eastAsia="zh-CN"/>
        </w:rPr>
        <w:t>、申请公司的资格要求</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（2）提供参加</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1.5、中标公示1天后3天内签订合同，签订合同后开展工作。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原则上符合报价文件且在同等条件下以报价最优惠的单位为中标单位，由集团询价小组共同确认，最终报集团三重一大会议确定。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开展项目的</w:t>
      </w:r>
      <w:r>
        <w:rPr>
          <w:rFonts w:hint="eastAsia" w:ascii="仿宋" w:hAnsi="仿宋" w:eastAsia="仿宋" w:cs="仿宋"/>
          <w:b w:val="0"/>
          <w:bCs/>
          <w:color w:val="000000"/>
          <w:sz w:val="32"/>
          <w:szCs w:val="32"/>
          <w:lang w:eastAsia="zh-CN"/>
        </w:rPr>
        <w:t>水土保持报告</w:t>
      </w:r>
      <w:r>
        <w:rPr>
          <w:rFonts w:hint="eastAsia" w:ascii="仿宋" w:hAnsi="仿宋" w:eastAsia="仿宋" w:cs="仿宋"/>
          <w:b w:val="0"/>
          <w:bCs/>
          <w:color w:val="000000"/>
          <w:sz w:val="32"/>
          <w:szCs w:val="32"/>
          <w:lang w:val="en-US" w:eastAsia="zh-CN"/>
        </w:rPr>
        <w:t>编制和报审，并在约定工期内完成编制和送审工作；未在约定时间内完成，我方保留解除合同的权利</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eastAsia" w:ascii="仿宋_GB2312" w:hAnsi="仿宋_GB2312" w:eastAsia="仿宋_GB2312" w:cs="仿宋_GB2312"/>
          <w:b/>
          <w:bCs/>
          <w:color w:val="000000"/>
          <w:sz w:val="30"/>
          <w:szCs w:val="30"/>
          <w:u w:val="single"/>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bCs/>
          <w:color w:val="000000"/>
          <w:sz w:val="30"/>
          <w:szCs w:val="30"/>
          <w:u w:val="single"/>
          <w:lang w:val="en-US" w:eastAsia="zh-CN"/>
        </w:rPr>
        <w:t>本项且由206 公路改建项目及公路沿线配套设施项目组成，两项目分别立项，共同设计实施，项目用地面积约800亩。</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公路项目：路线起于瑞金与会昌交界处，与现状 G206 国道</w:t>
      </w:r>
    </w:p>
    <w:p>
      <w:pPr>
        <w:numPr>
          <w:ilvl w:val="0"/>
          <w:numId w:val="0"/>
        </w:numPr>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相接，从城北片区沿济广高速公路西侧边缘布线，路线走向基本为南北方向，终于九州大道与省道 S217 线交叉口处。路线全长约 7.55 公里（含利用段2.35公里），同步建设必要的交通工程和沿线设施，项目采用一级公路技术标准建设;设计时速 80公里/小时;起点至与同济大道交叉(K2024+260-K2025+360 ）及环城南路至终点段（K2030+795 -K2031+812.1）路基宽度25.5米，同济大道至环城南路段（K2025+360-K2030+795)，含利用段2.35公里,路基宽度 31.5米。</w:t>
      </w:r>
    </w:p>
    <w:p>
      <w:pPr>
        <w:numPr>
          <w:ilvl w:val="0"/>
          <w:numId w:val="0"/>
        </w:numPr>
        <w:ind w:firstLine="600" w:firstLineChars="200"/>
        <w:jc w:val="left"/>
        <w:rPr>
          <w:rFonts w:hint="eastAsia"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配套设施项目：沿 G206 会昌县珠高寨至九州段两侧对称新</w:t>
      </w:r>
    </w:p>
    <w:p>
      <w:pPr>
        <w:numPr>
          <w:ilvl w:val="0"/>
          <w:numId w:val="0"/>
        </w:numPr>
        <w:jc w:val="left"/>
        <w:rPr>
          <w:rFonts w:hint="default" w:ascii="仿宋_GB2312" w:hAnsi="仿宋_GB2312" w:eastAsia="仿宋_GB2312" w:cs="仿宋_GB2312"/>
          <w:b w:val="0"/>
          <w:bCs w:val="0"/>
          <w:color w:val="000000"/>
          <w:sz w:val="30"/>
          <w:szCs w:val="30"/>
          <w:u w:val="none"/>
          <w:lang w:val="en-US" w:eastAsia="zh-CN"/>
        </w:rPr>
      </w:pPr>
      <w:r>
        <w:rPr>
          <w:rFonts w:hint="eastAsia" w:ascii="仿宋_GB2312" w:hAnsi="仿宋_GB2312" w:eastAsia="仿宋_GB2312" w:cs="仿宋_GB2312"/>
          <w:b w:val="0"/>
          <w:bCs w:val="0"/>
          <w:color w:val="000000"/>
          <w:sz w:val="30"/>
          <w:szCs w:val="30"/>
          <w:u w:val="none"/>
          <w:lang w:val="en-US" w:eastAsia="zh-CN"/>
        </w:rPr>
        <w:t>建侧向绿化分隔带、辅道及人行道、排水与管线工程、路面附属工程等，起点至与汉仙大道相接 (K2024+260-K2027+715) 两侧对称新建侧向绿化分隔带宽4 米，非机动车道宽8米，人行道宽5米；汉仙大道与环城南路相接 (K2030+065-K2030+795)两侧对称新建侧向绿化分隔带宽 4米，非机动车道完8米，人行道宽5米；环城南路段至终点段（K2030+795-K2031+812.1）两侧对称新建人行道宽7.25米。</w:t>
      </w:r>
    </w:p>
    <w:p>
      <w:pPr>
        <w:numPr>
          <w:ilvl w:val="0"/>
          <w:numId w:val="0"/>
        </w:numPr>
        <w:ind w:firstLine="640" w:firstLineChars="200"/>
        <w:jc w:val="left"/>
        <w:rPr>
          <w:rFonts w:hint="eastAsia" w:ascii="仿宋_GB2312" w:hAnsi="仿宋_GB2312" w:eastAsia="仿宋_GB2312" w:cs="仿宋_GB2312"/>
          <w:b w:val="0"/>
          <w:bCs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bookmarkStart w:id="5" w:name="_GoBack"/>
      <w:bookmarkEnd w:id="5"/>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184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5"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84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110"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仿宋" w:hAnsi="仿宋" w:eastAsia="仿宋" w:cs="仿宋"/>
                <w:sz w:val="28"/>
                <w:szCs w:val="28"/>
                <w:vertAlign w:val="baseline"/>
                <w:lang w:eastAsia="zh-CN"/>
              </w:rPr>
              <w:t>单位</w:t>
            </w:r>
          </w:p>
        </w:tc>
        <w:tc>
          <w:tcPr>
            <w:tcW w:w="1110" w:type="dxa"/>
            <w:vAlign w:val="center"/>
          </w:tcPr>
          <w:p>
            <w:pPr>
              <w:pStyle w:val="4"/>
              <w:ind w:left="0" w:leftChars="0" w:firstLine="0" w:firstLineChars="0"/>
              <w:jc w:val="cente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val="0"/>
                <w:sz w:val="28"/>
                <w:szCs w:val="28"/>
                <w:vertAlign w:val="baseline"/>
                <w:lang w:val="en-US" w:eastAsia="zh-CN"/>
              </w:rPr>
              <w:t>G206会昌县珠高寨至九州段公路改建工程项目水土保持报告编制</w:t>
            </w:r>
          </w:p>
        </w:tc>
        <w:tc>
          <w:tcPr>
            <w:tcW w:w="1840" w:type="dxa"/>
            <w:vMerge w:val="restart"/>
            <w:vAlign w:val="center"/>
          </w:tcPr>
          <w:p>
            <w:pPr>
              <w:pStyle w:val="4"/>
              <w:ind w:left="0" w:leftChars="0" w:firstLine="0" w:firstLineChars="0"/>
              <w:jc w:val="center"/>
              <w:rPr>
                <w:rFonts w:hint="default"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20.95</w:t>
            </w:r>
          </w:p>
        </w:tc>
        <w:tc>
          <w:tcPr>
            <w:tcW w:w="1110" w:type="dxa"/>
            <w:vMerge w:val="restart"/>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110" w:type="dxa"/>
            <w:vMerge w:val="restart"/>
            <w:vAlign w:val="center"/>
          </w:tcPr>
          <w:p>
            <w:pPr>
              <w:pStyle w:val="4"/>
              <w:ind w:left="0" w:leftChars="0" w:firstLine="0" w:firstLineChars="0"/>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55"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G206会昌县珠高寨至九州段公路沿线配套设施建设项目水土保持报告编制</w:t>
            </w:r>
          </w:p>
        </w:tc>
        <w:tc>
          <w:tcPr>
            <w:tcW w:w="1840" w:type="dxa"/>
            <w:vMerge w:val="continue"/>
            <w:vAlign w:val="center"/>
          </w:tcPr>
          <w:p>
            <w:pPr>
              <w:pStyle w:val="4"/>
              <w:ind w:left="0" w:leftChars="0" w:firstLine="0" w:firstLineChars="0"/>
              <w:jc w:val="center"/>
              <w:rPr>
                <w:rFonts w:hint="eastAsia" w:ascii="仿宋" w:hAnsi="仿宋" w:eastAsia="仿宋" w:cs="仿宋"/>
                <w:color w:val="000000"/>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110" w:type="dxa"/>
            <w:vMerge w:val="continue"/>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p>
        </w:tc>
      </w:tr>
    </w:tbl>
    <w:p>
      <w:pPr>
        <w:widowControl/>
        <w:spacing w:line="500" w:lineRule="exact"/>
        <w:jc w:val="both"/>
        <w:rPr>
          <w:rFonts w:hint="eastAsia" w:ascii="宋体" w:hAnsi="宋体" w:cs="宋体"/>
          <w:b w:val="0"/>
          <w:bCs/>
          <w:color w:val="000000"/>
          <w:kern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p>
        </w:tc>
        <w:tc>
          <w:tcPr>
            <w:tcW w:w="1400" w:type="dxa"/>
            <w:vAlign w:val="center"/>
          </w:tcPr>
          <w:p>
            <w:pPr>
              <w:pStyle w:val="4"/>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w:t>
            </w:r>
            <w:r>
              <w:rPr>
                <w:rFonts w:hint="eastAsia" w:ascii="仿宋" w:hAnsi="仿宋" w:eastAsia="仿宋" w:cs="仿宋"/>
                <w:sz w:val="28"/>
                <w:szCs w:val="28"/>
                <w:vertAlign w:val="baseline"/>
                <w:lang w:val="en-US" w:eastAsia="zh-CN"/>
              </w:rPr>
              <w:t>书</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DQzNDhiNWFkMjlmZDA2OGQ1YjUwNDRhODk0MWQifQ=="/>
  </w:docVars>
  <w:rsids>
    <w:rsidRoot w:val="00000000"/>
    <w:rsid w:val="0394658D"/>
    <w:rsid w:val="089F5CFF"/>
    <w:rsid w:val="09D94AF6"/>
    <w:rsid w:val="0B2D1730"/>
    <w:rsid w:val="0EE7716B"/>
    <w:rsid w:val="0F6B4008"/>
    <w:rsid w:val="12DD7EA1"/>
    <w:rsid w:val="18AD4D89"/>
    <w:rsid w:val="1CBD66FD"/>
    <w:rsid w:val="23E653CB"/>
    <w:rsid w:val="2FF46872"/>
    <w:rsid w:val="419D523A"/>
    <w:rsid w:val="4D46449D"/>
    <w:rsid w:val="4EF42F43"/>
    <w:rsid w:val="58430B54"/>
    <w:rsid w:val="618648DC"/>
    <w:rsid w:val="62F24C84"/>
    <w:rsid w:val="67753673"/>
    <w:rsid w:val="679C143B"/>
    <w:rsid w:val="6C470F34"/>
    <w:rsid w:val="75732F50"/>
    <w:rsid w:val="76F41EFA"/>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1883</Words>
  <Characters>2103</Characters>
  <Paragraphs>155</Paragraphs>
  <TotalTime>14</TotalTime>
  <ScaleCrop>false</ScaleCrop>
  <LinksUpToDate>false</LinksUpToDate>
  <CharactersWithSpaces>2214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木兆</cp:lastModifiedBy>
  <cp:lastPrinted>2023-06-26T09:09:00Z</cp:lastPrinted>
  <dcterms:modified xsi:type="dcterms:W3CDTF">2023-06-28T08:38:37Z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F84FB9BFE9D145AEB0C67128B3131863_13</vt:lpwstr>
  </property>
</Properties>
</file>