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u w:val="none"/>
          <w:lang w:eastAsia="zh-CN"/>
        </w:rPr>
      </w:pPr>
      <w:bookmarkStart w:id="0" w:name="_Toc261477746"/>
      <w:bookmarkStart w:id="1" w:name="_Toc439447799"/>
      <w:bookmarkStart w:id="2" w:name="_Toc512011785"/>
      <w:r>
        <w:rPr>
          <w:rFonts w:hint="eastAsia" w:ascii="仿宋" w:hAnsi="仿宋" w:eastAsia="仿宋" w:cs="仿宋"/>
          <w:b/>
          <w:sz w:val="36"/>
          <w:szCs w:val="36"/>
          <w:u w:val="none"/>
          <w:lang w:val="en-US" w:eastAsia="zh-CN"/>
        </w:rPr>
        <w:t>G206会昌县珠高寨至九州段公路改建工程及沿线配套设施建设</w:t>
      </w:r>
      <w:bookmarkEnd w:id="0"/>
      <w:bookmarkEnd w:id="1"/>
      <w:bookmarkEnd w:id="2"/>
      <w:r>
        <w:rPr>
          <w:rFonts w:hint="eastAsia" w:ascii="仿宋" w:hAnsi="仿宋" w:eastAsia="仿宋" w:cs="仿宋"/>
          <w:b/>
          <w:sz w:val="36"/>
          <w:szCs w:val="36"/>
          <w:u w:val="none"/>
          <w:lang w:val="en-US" w:eastAsia="zh-CN"/>
        </w:rPr>
        <w:t>项目</w:t>
      </w:r>
      <w:r>
        <w:rPr>
          <w:rFonts w:hint="eastAsia" w:ascii="仿宋" w:hAnsi="仿宋" w:eastAsia="仿宋" w:cs="仿宋"/>
          <w:b/>
          <w:bCs/>
          <w:color w:val="000000"/>
          <w:sz w:val="36"/>
          <w:szCs w:val="36"/>
          <w:lang w:eastAsia="zh-CN"/>
        </w:rPr>
        <w:t>水土保持报告</w:t>
      </w:r>
      <w:r>
        <w:rPr>
          <w:rFonts w:hint="eastAsia" w:ascii="仿宋" w:hAnsi="仿宋" w:eastAsia="仿宋" w:cs="仿宋"/>
          <w:b/>
          <w:bCs/>
          <w:color w:val="000000"/>
          <w:sz w:val="36"/>
          <w:szCs w:val="36"/>
          <w:lang w:val="en-US" w:eastAsia="zh-CN"/>
        </w:rPr>
        <w:t>编制</w:t>
      </w:r>
      <w:r>
        <w:rPr>
          <w:rFonts w:hint="eastAsia" w:ascii="仿宋" w:hAnsi="仿宋" w:eastAsia="仿宋" w:cs="仿宋"/>
          <w:b/>
          <w:sz w:val="36"/>
          <w:szCs w:val="36"/>
          <w:u w:val="none"/>
          <w:lang w:eastAsia="zh-CN"/>
        </w:rPr>
        <w:t>询价发包挂网</w:t>
      </w:r>
    </w:p>
    <w:p>
      <w:pPr>
        <w:jc w:val="center"/>
        <w:rPr>
          <w:rFonts w:hint="eastAsia" w:ascii="仿宋" w:hAnsi="仿宋" w:eastAsia="仿宋" w:cs="仿宋"/>
          <w:b/>
          <w:bCs/>
          <w:sz w:val="36"/>
          <w:szCs w:val="36"/>
          <w:lang w:val="en-US" w:eastAsia="zh-CN"/>
        </w:rPr>
      </w:pPr>
      <w:r>
        <w:rPr>
          <w:rFonts w:hint="eastAsia" w:ascii="仿宋" w:hAnsi="仿宋" w:eastAsia="仿宋" w:cs="仿宋"/>
          <w:b/>
          <w:sz w:val="36"/>
          <w:szCs w:val="36"/>
          <w:u w:val="none"/>
          <w:lang w:eastAsia="zh-CN"/>
        </w:rPr>
        <w:t>招标公告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0"/>
                <w:szCs w:val="30"/>
                <w:vertAlign w:val="baseline"/>
                <w:lang w:val="en-US" w:eastAsia="zh-CN"/>
              </w:rPr>
            </w:pPr>
            <w:bookmarkStart w:id="5" w:name="_GoBack" w:colFirst="2" w:colLast="2"/>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G206会昌县珠高寨至九州段公路改建工程及沿线配套设施建设项目</w:t>
            </w:r>
            <w:r>
              <w:rPr>
                <w:rFonts w:hint="eastAsia" w:ascii="仿宋" w:hAnsi="仿宋" w:eastAsia="仿宋" w:cs="仿宋"/>
                <w:b w:val="0"/>
                <w:bCs/>
                <w:color w:val="000000"/>
                <w:sz w:val="30"/>
                <w:szCs w:val="30"/>
                <w:lang w:eastAsia="zh-CN"/>
              </w:rPr>
              <w:t>水土保持报告</w:t>
            </w:r>
            <w:r>
              <w:rPr>
                <w:rFonts w:hint="eastAsia" w:ascii="仿宋" w:hAnsi="仿宋" w:eastAsia="仿宋" w:cs="仿宋"/>
                <w:b w:val="0"/>
                <w:bCs/>
                <w:color w:val="000000"/>
                <w:sz w:val="30"/>
                <w:szCs w:val="30"/>
                <w:lang w:val="en-US" w:eastAsia="zh-CN"/>
              </w:rPr>
              <w:t>编制</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G206会昌县珠高寨至九州段公路改建工程及沿线配套设施建设项目</w:t>
            </w:r>
            <w:r>
              <w:rPr>
                <w:rFonts w:hint="eastAsia" w:ascii="仿宋" w:hAnsi="仿宋" w:eastAsia="仿宋" w:cs="仿宋"/>
                <w:b w:val="0"/>
                <w:bCs w:val="0"/>
                <w:sz w:val="30"/>
                <w:szCs w:val="30"/>
                <w:vertAlign w:val="baseline"/>
                <w:lang w:val="en-US" w:eastAsia="zh-CN"/>
              </w:rPr>
              <w:t>水土保持报告编制事宜。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一般债券资金</w:t>
            </w:r>
            <w:r>
              <w:rPr>
                <w:rFonts w:hint="eastAsia" w:ascii="仿宋" w:hAnsi="仿宋" w:eastAsia="仿宋" w:cs="仿宋"/>
                <w:b w:val="0"/>
                <w:bCs/>
                <w:sz w:val="30"/>
                <w:szCs w:val="30"/>
                <w:u w:val="none"/>
                <w:lang w:eastAsia="zh-CN"/>
              </w:rPr>
              <w:t>、地方财政</w:t>
            </w:r>
            <w:r>
              <w:rPr>
                <w:rFonts w:hint="eastAsia" w:ascii="仿宋" w:hAnsi="仿宋" w:eastAsia="仿宋" w:cs="仿宋"/>
                <w:b w:val="0"/>
                <w:bCs/>
                <w:sz w:val="30"/>
                <w:szCs w:val="30"/>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根据《中华人民共和国水土保持法》、水利部《开发建设项目水土保持方案编报审批管理规定》和会昌县水土保持相关管理规定编制。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2023年6月22日至2023年6月26日下午3点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color w:val="000000"/>
                <w:sz w:val="30"/>
                <w:szCs w:val="30"/>
                <w:lang w:eastAsia="zh-CN"/>
              </w:rPr>
              <w:t>水土保持报告书</w:t>
            </w:r>
            <w:r>
              <w:rPr>
                <w:rFonts w:hint="eastAsia" w:ascii="仿宋" w:hAnsi="仿宋" w:eastAsia="仿宋" w:cs="仿宋"/>
                <w:b w:val="0"/>
                <w:bCs/>
                <w:color w:val="000000"/>
                <w:sz w:val="30"/>
                <w:szCs w:val="30"/>
                <w:lang w:val="en-US" w:eastAsia="zh-CN"/>
              </w:rPr>
              <w:t>编制</w:t>
            </w:r>
            <w:r>
              <w:rPr>
                <w:rFonts w:hint="eastAsia" w:ascii="仿宋" w:hAnsi="仿宋" w:eastAsia="仿宋" w:cs="仿宋"/>
                <w:b w:val="0"/>
                <w:bCs/>
                <w:color w:val="000000"/>
                <w:sz w:val="30"/>
                <w:szCs w:val="30"/>
                <w:lang w:eastAsia="zh-CN"/>
              </w:rPr>
              <w:t>，</w:t>
            </w:r>
            <w:r>
              <w:rPr>
                <w:rFonts w:hint="eastAsia" w:ascii="仿宋" w:hAnsi="仿宋" w:eastAsia="仿宋" w:cs="仿宋"/>
                <w:b w:val="0"/>
                <w:bCs w:val="0"/>
                <w:sz w:val="30"/>
                <w:szCs w:val="30"/>
                <w:vertAlign w:val="baseline"/>
                <w:lang w:val="en-US" w:eastAsia="zh-CN"/>
              </w:rPr>
              <w:t>并通过行业主管部门审批后一年内支付。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招标联系人：陈永鸿  15979096733 投标地点：会昌县商会大厦十楼工程部。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开标时间为：2023年6月26日下午3:00，集团询价小组进行现场拆封各投标人报价文件，审核各投标人资质，按低价原则确定服务机构。</w:t>
            </w:r>
          </w:p>
          <w:p>
            <w:p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1.1、投标价格为固定总价，投标单位报价后我公司即视为报价方在报价前已充分进行了现场踏勘、考虑了风险评估及工期提前等所有风险。任何要求</w:t>
      </w:r>
      <w:bookmarkStart w:id="3" w:name="_Hlk529951313"/>
      <w:r>
        <w:rPr>
          <w:rFonts w:hint="eastAsia" w:ascii="仿宋_GB2312" w:hAnsi="仿宋_GB2312" w:eastAsia="仿宋_GB2312" w:cs="仿宋_GB2312"/>
          <w:b w:val="0"/>
          <w:bCs w:val="0"/>
          <w:sz w:val="32"/>
          <w:szCs w:val="32"/>
          <w:lang w:val="en-US" w:eastAsia="zh-CN"/>
        </w:rPr>
        <w:t>增减、变更</w:t>
      </w:r>
      <w:bookmarkEnd w:id="3"/>
      <w:r>
        <w:rPr>
          <w:rFonts w:hint="eastAsia" w:ascii="仿宋_GB2312" w:hAnsi="仿宋_GB2312" w:eastAsia="仿宋_GB2312" w:cs="仿宋_GB2312"/>
          <w:b w:val="0"/>
          <w:bCs w:val="0"/>
          <w:sz w:val="32"/>
          <w:szCs w:val="32"/>
          <w:lang w:val="en-US" w:eastAsia="zh-CN"/>
        </w:rPr>
        <w:t>单价的，将不予认可。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4" w:name="_Toc46481525"/>
      <w:r>
        <w:rPr>
          <w:rFonts w:hint="eastAsia" w:ascii="仿宋_GB2312" w:hAnsi="仿宋_GB2312" w:eastAsia="仿宋_GB2312" w:cs="仿宋_GB2312"/>
          <w:b w:val="0"/>
          <w:bCs w:val="0"/>
          <w:sz w:val="32"/>
          <w:szCs w:val="32"/>
          <w:lang w:val="en-US" w:eastAsia="zh-CN"/>
        </w:rPr>
        <w:t>、申请公司的资格要求</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（2）提供参加</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活动前三年内，在经营活动中没有重大违法记录的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1.5、中标公示1天后3天内签订合同，签订合同后开展工作。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原则上符合报价文件且在同等条件下以报价最优惠的单位为中标单位，由集团询价小组共同确认，最终报集团三重一大会议确定。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开展项目的</w:t>
      </w:r>
      <w:r>
        <w:rPr>
          <w:rFonts w:hint="eastAsia" w:ascii="仿宋" w:hAnsi="仿宋" w:eastAsia="仿宋" w:cs="仿宋"/>
          <w:b w:val="0"/>
          <w:bCs/>
          <w:color w:val="000000"/>
          <w:sz w:val="32"/>
          <w:szCs w:val="32"/>
          <w:lang w:eastAsia="zh-CN"/>
        </w:rPr>
        <w:t>水土保持报告</w:t>
      </w:r>
      <w:r>
        <w:rPr>
          <w:rFonts w:hint="eastAsia" w:ascii="仿宋" w:hAnsi="仿宋" w:eastAsia="仿宋" w:cs="仿宋"/>
          <w:b w:val="0"/>
          <w:bCs/>
          <w:color w:val="000000"/>
          <w:sz w:val="32"/>
          <w:szCs w:val="32"/>
          <w:lang w:val="en-US" w:eastAsia="zh-CN"/>
        </w:rPr>
        <w:t>编制和报审</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eastAsia" w:ascii="仿宋_GB2312" w:hAnsi="仿宋_GB2312" w:eastAsia="仿宋_GB2312" w:cs="仿宋_GB2312"/>
          <w:b/>
          <w:bCs/>
          <w:color w:val="000000"/>
          <w:sz w:val="30"/>
          <w:szCs w:val="30"/>
          <w:u w:val="single"/>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bCs/>
          <w:color w:val="000000"/>
          <w:sz w:val="30"/>
          <w:szCs w:val="30"/>
          <w:u w:val="single"/>
          <w:lang w:val="en-US" w:eastAsia="zh-CN"/>
        </w:rPr>
        <w:t>本项且由206 公路改建项目及公路沿线配套设施项目组成，两项目分别立项，共同设计实施，项目用地面积约800亩。</w:t>
      </w:r>
    </w:p>
    <w:p>
      <w:pPr>
        <w:numPr>
          <w:ilvl w:val="0"/>
          <w:numId w:val="0"/>
        </w:numPr>
        <w:ind w:firstLine="600" w:firstLineChars="200"/>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公路项目：路线起于瑞金与会昌交界处，与现状 G206 国道</w:t>
      </w:r>
    </w:p>
    <w:p>
      <w:pPr>
        <w:numPr>
          <w:ilvl w:val="0"/>
          <w:numId w:val="0"/>
        </w:numPr>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相接，从城北片区沿济广高速公路西侧边缘布线，路线走向基本为南北方向，终于九州大道与省道 S217 线交叉口处。路线全长约 7.55 公里（含利用段2.35公里），同步建设必要的交通工程和沿线设施，项目采用一级公路技术标准建设;设计时速 80公里/小时;起点至与同济大道交叉(K2024+260-K2025+360 ）及环城南路至终点段（K2030+795 -K2031+812.1）路基宽度25.5米，同济大道至环城南路段（K2025+360-K2030+795)，含利用段2.35公里,路基宽度 31.5米。</w:t>
      </w:r>
    </w:p>
    <w:p>
      <w:pPr>
        <w:numPr>
          <w:ilvl w:val="0"/>
          <w:numId w:val="0"/>
        </w:numPr>
        <w:ind w:firstLine="600" w:firstLineChars="200"/>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配套设施项目：沿 G206 会昌县珠高寨至九州段两侧对称新</w:t>
      </w:r>
    </w:p>
    <w:p>
      <w:pPr>
        <w:numPr>
          <w:ilvl w:val="0"/>
          <w:numId w:val="0"/>
        </w:numPr>
        <w:jc w:val="left"/>
        <w:rPr>
          <w:rFonts w:hint="default"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建侧向绿化分隔带、辅道及人行道、排水与管线工程、路面附属工程等，起点至与汉仙大道相接 (K2024+260-K2027+715) 两侧对称新建侧向绿化分隔带宽4 米，非机动车道宽8米，人行道宽5米；汉仙大道与环城南路相接 (K2030+065-K2030+795)两侧对称新建侧向绿化分隔带宽 4米，非机动车道完8米，人行道宽5米；环城南路段至终点段（K2030+795-K2031+812.1）两侧对称新建人行道宽7.25米。</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8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184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5"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84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11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仿宋" w:hAnsi="仿宋" w:eastAsia="仿宋" w:cs="仿宋"/>
                <w:sz w:val="28"/>
                <w:szCs w:val="28"/>
                <w:vertAlign w:val="baseline"/>
                <w:lang w:eastAsia="zh-CN"/>
              </w:rPr>
              <w:t>单位</w:t>
            </w:r>
          </w:p>
        </w:tc>
        <w:tc>
          <w:tcPr>
            <w:tcW w:w="1110" w:type="dxa"/>
            <w:vAlign w:val="center"/>
          </w:tcPr>
          <w:p>
            <w:pPr>
              <w:pStyle w:val="4"/>
              <w:ind w:left="0" w:leftChars="0" w:firstLine="0" w:firstLineChars="0"/>
              <w:jc w:val="cente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55"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b w:val="0"/>
                <w:bCs w:val="0"/>
                <w:sz w:val="28"/>
                <w:szCs w:val="28"/>
                <w:vertAlign w:val="baseline"/>
                <w:lang w:val="en-US" w:eastAsia="zh-CN"/>
              </w:rPr>
              <w:t>G206会昌县珠高寨至九州段公路改建工程项目水土保持报告编制</w:t>
            </w:r>
          </w:p>
        </w:tc>
        <w:tc>
          <w:tcPr>
            <w:tcW w:w="1840" w:type="dxa"/>
            <w:vMerge w:val="restart"/>
            <w:vAlign w:val="center"/>
          </w:tcPr>
          <w:p>
            <w:pPr>
              <w:pStyle w:val="4"/>
              <w:ind w:left="0" w:leftChars="0" w:firstLine="0" w:firstLineChars="0"/>
              <w:jc w:val="center"/>
              <w:rPr>
                <w:rFonts w:hint="default" w:ascii="仿宋" w:hAnsi="仿宋" w:eastAsia="仿宋" w:cs="仿宋"/>
                <w:color w:val="FF0000"/>
                <w:sz w:val="28"/>
                <w:szCs w:val="28"/>
                <w:vertAlign w:val="baseline"/>
                <w:lang w:val="en-US" w:eastAsia="zh-CN"/>
              </w:rPr>
            </w:pPr>
            <w:r>
              <w:rPr>
                <w:rFonts w:hint="eastAsia" w:ascii="仿宋" w:hAnsi="仿宋" w:eastAsia="仿宋" w:cs="仿宋"/>
                <w:color w:val="000000"/>
                <w:sz w:val="28"/>
                <w:szCs w:val="28"/>
                <w:vertAlign w:val="baseline"/>
                <w:lang w:val="en-US" w:eastAsia="zh-CN"/>
              </w:rPr>
              <w:t>20.95</w:t>
            </w:r>
          </w:p>
        </w:tc>
        <w:tc>
          <w:tcPr>
            <w:tcW w:w="1110" w:type="dxa"/>
            <w:vMerge w:val="restart"/>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vertAlign w:val="baseline"/>
                <w:lang w:val="en-US" w:eastAsia="zh-CN"/>
              </w:rPr>
              <w:t>万元</w:t>
            </w:r>
          </w:p>
        </w:tc>
        <w:tc>
          <w:tcPr>
            <w:tcW w:w="1110" w:type="dxa"/>
            <w:vMerge w:val="restart"/>
            <w:vAlign w:val="center"/>
          </w:tcPr>
          <w:p>
            <w:pPr>
              <w:pStyle w:val="4"/>
              <w:ind w:left="0" w:leftChars="0" w:firstLine="0" w:firstLineChars="0"/>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55"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G206会昌县珠高寨至九州段公路沿线配套设施建设项目水土保持报告编制</w:t>
            </w:r>
          </w:p>
        </w:tc>
        <w:tc>
          <w:tcPr>
            <w:tcW w:w="1840" w:type="dxa"/>
            <w:vMerge w:val="continue"/>
            <w:vAlign w:val="center"/>
          </w:tcPr>
          <w:p>
            <w:pPr>
              <w:pStyle w:val="4"/>
              <w:ind w:left="0" w:leftChars="0" w:firstLine="0" w:firstLineChars="0"/>
              <w:jc w:val="center"/>
              <w:rPr>
                <w:rFonts w:hint="eastAsia" w:ascii="仿宋" w:hAnsi="仿宋" w:eastAsia="仿宋" w:cs="仿宋"/>
                <w:color w:val="000000"/>
                <w:sz w:val="28"/>
                <w:szCs w:val="28"/>
                <w:vertAlign w:val="baseline"/>
                <w:lang w:val="en-US" w:eastAsia="zh-CN"/>
              </w:rPr>
            </w:pPr>
          </w:p>
        </w:tc>
        <w:tc>
          <w:tcPr>
            <w:tcW w:w="1110" w:type="dxa"/>
            <w:vMerge w:val="continue"/>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110" w:type="dxa"/>
            <w:vMerge w:val="continue"/>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p>
        </w:tc>
      </w:tr>
    </w:tbl>
    <w:p>
      <w:pPr>
        <w:widowControl/>
        <w:spacing w:line="500" w:lineRule="exact"/>
        <w:jc w:val="both"/>
        <w:rPr>
          <w:rFonts w:hint="eastAsia" w:ascii="宋体" w:hAnsi="宋体" w:cs="宋体"/>
          <w:b w:val="0"/>
          <w:bCs/>
          <w:color w:val="000000"/>
          <w:kern w:val="0"/>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宋体" w:hAnsi="宋体" w:cs="宋体"/>
          <w:b w:val="0"/>
          <w:bCs/>
          <w:color w:val="000000"/>
          <w:kern w:val="0"/>
          <w:sz w:val="32"/>
          <w:szCs w:val="32"/>
          <w:lang w:val="en-US" w:eastAsia="zh-CN"/>
        </w:rPr>
        <w:t>注意事项：投标报价超出控制价的视为无效投标。</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编制类型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p>
        </w:tc>
        <w:tc>
          <w:tcPr>
            <w:tcW w:w="1400" w:type="dxa"/>
            <w:vAlign w:val="center"/>
          </w:tcPr>
          <w:p>
            <w:pPr>
              <w:pStyle w:val="4"/>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w:t>
            </w:r>
            <w:r>
              <w:rPr>
                <w:rFonts w:hint="eastAsia" w:ascii="仿宋" w:hAnsi="仿宋" w:eastAsia="仿宋" w:cs="仿宋"/>
                <w:sz w:val="28"/>
                <w:szCs w:val="28"/>
                <w:vertAlign w:val="baseline"/>
                <w:lang w:val="en-US" w:eastAsia="zh-CN"/>
              </w:rPr>
              <w:t>书</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bl>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编制、评审等相关费用并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DQzNDhiNWFkMjlmZDA2OGQ1YjUwNDRhODk0MWQifQ=="/>
  </w:docVars>
  <w:rsids>
    <w:rsidRoot w:val="00000000"/>
    <w:rsid w:val="0394658D"/>
    <w:rsid w:val="089F5CFF"/>
    <w:rsid w:val="09D94AF6"/>
    <w:rsid w:val="0B2D1730"/>
    <w:rsid w:val="0F6B4008"/>
    <w:rsid w:val="12DD7EA1"/>
    <w:rsid w:val="18AD4D89"/>
    <w:rsid w:val="1CBD66FD"/>
    <w:rsid w:val="23E653CB"/>
    <w:rsid w:val="2FF46872"/>
    <w:rsid w:val="419D523A"/>
    <w:rsid w:val="4D46449D"/>
    <w:rsid w:val="58430B54"/>
    <w:rsid w:val="62F24C84"/>
    <w:rsid w:val="67753673"/>
    <w:rsid w:val="679C143B"/>
    <w:rsid w:val="6C470F34"/>
    <w:rsid w:val="75732F50"/>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1844</Words>
  <Characters>2066</Characters>
  <Paragraphs>155</Paragraphs>
  <TotalTime>4</TotalTime>
  <ScaleCrop>false</ScaleCrop>
  <LinksUpToDate>false</LinksUpToDate>
  <CharactersWithSpaces>2177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木兆</cp:lastModifiedBy>
  <cp:lastPrinted>2023-06-20T09:06:22Z</cp:lastPrinted>
  <dcterms:modified xsi:type="dcterms:W3CDTF">2023-06-20T09:17:17Z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F84FB9BFE9D145AEB0C67128B3131863_13</vt:lpwstr>
  </property>
</Properties>
</file>